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CBC10">
      <w:pPr>
        <w:pStyle w:val="4"/>
        <w:keepNext w:val="0"/>
        <w:keepLines w:val="0"/>
        <w:widowControl w:val="0"/>
        <w:suppressLineNumbers w:val="0"/>
        <w:autoSpaceDE w:val="0"/>
        <w:autoSpaceDN w:val="0"/>
        <w:adjustRightInd w:val="0"/>
        <w:spacing w:line="600" w:lineRule="exact"/>
        <w:jc w:val="both"/>
        <w:rPr>
          <w:rFonts w:hint="default" w:ascii="仿宋" w:hAnsi="仿宋" w:eastAsia="仿宋" w:cs="仿宋"/>
          <w:color w:val="000000"/>
          <w:spacing w:val="-9"/>
          <w:sz w:val="24"/>
          <w:szCs w:val="24"/>
          <w:highlight w:val="none"/>
        </w:rPr>
      </w:pPr>
      <w:r>
        <w:rPr>
          <w:rFonts w:hint="default" w:ascii="黑体" w:hAnsi="宋体" w:eastAsia="黑体" w:cs="黑体"/>
          <w:b w:val="0"/>
          <w:bCs w:val="0"/>
          <w:color w:val="000000"/>
          <w:sz w:val="32"/>
          <w:szCs w:val="32"/>
          <w:highlight w:val="none"/>
        </w:rPr>
        <w:t>附件1-6：</w:t>
      </w:r>
    </w:p>
    <w:p w14:paraId="340B4A7E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00" w:lineRule="exact"/>
        <w:ind w:left="0" w:right="0"/>
        <w:jc w:val="center"/>
        <w:rPr>
          <w:rFonts w:hint="default" w:ascii="Calibri" w:hAnsi="Calibri" w:eastAsia="宋体" w:cs="Times New Roman"/>
          <w:kern w:val="2"/>
          <w:sz w:val="31"/>
          <w:szCs w:val="31"/>
          <w:highlight w:val="none"/>
        </w:rPr>
      </w:pPr>
      <w:r>
        <w:rPr>
          <w:rFonts w:hint="eastAsia" w:ascii="宋体" w:hAnsi="宋体" w:eastAsia="宋体" w:cs="宋体"/>
          <w:spacing w:val="7"/>
          <w:kern w:val="2"/>
          <w:sz w:val="31"/>
          <w:szCs w:val="31"/>
          <w:highlight w:val="none"/>
          <w:lang w:val="en-US" w:eastAsia="zh-CN" w:bidi="ar"/>
        </w:rPr>
        <w:t>评审专家日常考核</w:t>
      </w:r>
      <w:r>
        <w:rPr>
          <w:rFonts w:hint="eastAsia" w:ascii="宋体" w:hAnsi="宋体" w:eastAsia="宋体" w:cs="宋体"/>
          <w:spacing w:val="6"/>
          <w:kern w:val="2"/>
          <w:sz w:val="31"/>
          <w:szCs w:val="31"/>
          <w:highlight w:val="none"/>
          <w:lang w:val="en-US" w:eastAsia="zh-CN" w:bidi="ar"/>
        </w:rPr>
        <w:t>及打分表（满分</w:t>
      </w:r>
      <w:r>
        <w:rPr>
          <w:rFonts w:hint="default" w:ascii="Calibri" w:hAnsi="Calibri" w:eastAsia="宋体" w:cs="Times New Roman"/>
          <w:spacing w:val="-36"/>
          <w:kern w:val="2"/>
          <w:sz w:val="31"/>
          <w:szCs w:val="31"/>
          <w:highlight w:val="none"/>
          <w:lang w:val="en-US" w:eastAsia="zh-CN" w:bidi="ar"/>
        </w:rPr>
        <w:t xml:space="preserve"> </w:t>
      </w:r>
      <w:r>
        <w:rPr>
          <w:rFonts w:hint="default" w:ascii="Calibri" w:hAnsi="Calibri" w:eastAsia="宋体" w:cs="Times New Roman"/>
          <w:spacing w:val="6"/>
          <w:kern w:val="2"/>
          <w:sz w:val="31"/>
          <w:szCs w:val="31"/>
          <w:highlight w:val="none"/>
          <w:lang w:val="en-US" w:eastAsia="zh-CN" w:bidi="ar"/>
        </w:rPr>
        <w:t>100</w:t>
      </w:r>
      <w:r>
        <w:rPr>
          <w:rFonts w:hint="default" w:ascii="Calibri" w:hAnsi="Calibri" w:eastAsia="宋体" w:cs="Times New Roman"/>
          <w:spacing w:val="-52"/>
          <w:kern w:val="2"/>
          <w:sz w:val="31"/>
          <w:szCs w:val="31"/>
          <w:highlight w:val="none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spacing w:val="6"/>
          <w:kern w:val="2"/>
          <w:sz w:val="31"/>
          <w:szCs w:val="31"/>
          <w:highlight w:val="none"/>
          <w:lang w:val="en-US" w:eastAsia="zh-CN" w:bidi="ar"/>
        </w:rPr>
        <w:t>分）</w:t>
      </w:r>
    </w:p>
    <w:tbl>
      <w:tblPr>
        <w:tblStyle w:val="2"/>
        <w:tblW w:w="4999" w:type="pct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83"/>
        <w:gridCol w:w="1731"/>
        <w:gridCol w:w="389"/>
        <w:gridCol w:w="1949"/>
        <w:gridCol w:w="2034"/>
        <w:gridCol w:w="69"/>
        <w:gridCol w:w="1665"/>
        <w:gridCol w:w="328"/>
        <w:gridCol w:w="918"/>
        <w:gridCol w:w="816"/>
        <w:gridCol w:w="1499"/>
      </w:tblGrid>
      <w:tr w14:paraId="23C63C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1493" w:type="pct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B22BE64"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ind w:left="1581"/>
              <w:rPr>
                <w:rFonts w:hint="default" w:ascii="仿宋" w:hAnsi="仿宋" w:eastAsia="仿宋" w:cs="仿宋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仿宋" w:hAnsi="仿宋" w:eastAsia="仿宋" w:cs="仿宋"/>
                <w:spacing w:val="-1"/>
                <w:kern w:val="2"/>
                <w:sz w:val="18"/>
                <w:szCs w:val="18"/>
                <w:highlight w:val="none"/>
              </w:rPr>
              <w:t>被考核人姓名</w:t>
            </w:r>
          </w:p>
        </w:tc>
        <w:tc>
          <w:tcPr>
            <w:tcW w:w="1586" w:type="pct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A6180E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081" w:type="pct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81B62C6"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ind w:left="1179"/>
              <w:rPr>
                <w:rFonts w:hint="default" w:ascii="仿宋" w:hAnsi="仿宋" w:eastAsia="仿宋" w:cs="仿宋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仿宋" w:hAnsi="仿宋" w:eastAsia="仿宋" w:cs="仿宋"/>
                <w:spacing w:val="-2"/>
                <w:kern w:val="2"/>
                <w:sz w:val="18"/>
                <w:szCs w:val="18"/>
                <w:highlight w:val="none"/>
              </w:rPr>
              <w:t>考核时间</w:t>
            </w:r>
          </w:p>
        </w:tc>
        <w:tc>
          <w:tcPr>
            <w:tcW w:w="839" w:type="pct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7A9750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</w:rPr>
            </w:pPr>
          </w:p>
        </w:tc>
      </w:tr>
      <w:tr w14:paraId="3EA618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  <w:jc w:val="center"/>
        </w:trPr>
        <w:tc>
          <w:tcPr>
            <w:tcW w:w="1493" w:type="pct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9BAE83A"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ind w:left="1764"/>
              <w:rPr>
                <w:rFonts w:hint="default" w:ascii="仿宋" w:hAnsi="仿宋" w:eastAsia="仿宋" w:cs="仿宋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仿宋" w:hAnsi="仿宋" w:eastAsia="仿宋" w:cs="仿宋"/>
                <w:spacing w:val="-2"/>
                <w:kern w:val="2"/>
                <w:sz w:val="18"/>
                <w:szCs w:val="18"/>
                <w:highlight w:val="none"/>
              </w:rPr>
              <w:t>项目名称</w:t>
            </w:r>
          </w:p>
        </w:tc>
        <w:tc>
          <w:tcPr>
            <w:tcW w:w="3506" w:type="pct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432BE7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</w:rPr>
            </w:pPr>
          </w:p>
        </w:tc>
      </w:tr>
      <w:tr w14:paraId="33F87B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5000" w:type="pct"/>
            <w:gridSpan w:val="1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F39ACA9"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ind w:left="4125"/>
              <w:rPr>
                <w:rFonts w:hint="default" w:ascii="仿宋" w:hAnsi="仿宋" w:eastAsia="仿宋" w:cs="仿宋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仿宋" w:hAnsi="仿宋" w:eastAsia="仿宋" w:cs="仿宋"/>
                <w:kern w:val="2"/>
                <w:sz w:val="18"/>
                <w:szCs w:val="18"/>
                <w:highlight w:val="none"/>
              </w:rPr>
              <w:t>一、有下列一般不良行为之一的，每项扣</w:t>
            </w:r>
            <w:r>
              <w:rPr>
                <w:rFonts w:hint="default" w:ascii="仿宋" w:hAnsi="仿宋" w:eastAsia="仿宋" w:cs="仿宋"/>
                <w:spacing w:val="0"/>
                <w:kern w:val="2"/>
                <w:sz w:val="18"/>
                <w:szCs w:val="18"/>
                <w:highlight w:val="none"/>
              </w:rPr>
              <w:t xml:space="preserve"> 10</w:t>
            </w:r>
            <w:r>
              <w:rPr>
                <w:rFonts w:hint="default" w:ascii="仿宋" w:hAnsi="仿宋" w:eastAsia="仿宋" w:cs="仿宋"/>
                <w:kern w:val="2"/>
                <w:sz w:val="18"/>
                <w:szCs w:val="18"/>
                <w:highlight w:val="none"/>
              </w:rPr>
              <w:t>分（</w:t>
            </w:r>
            <w:r>
              <w:rPr>
                <w:rFonts w:hint="default" w:ascii="仿宋" w:hAnsi="仿宋" w:eastAsia="仿宋" w:cs="仿宋"/>
                <w:spacing w:val="-1"/>
                <w:kern w:val="2"/>
                <w:sz w:val="18"/>
                <w:szCs w:val="18"/>
                <w:highlight w:val="none"/>
              </w:rPr>
              <w:t>有一项在对应的情形后方打√</w:t>
            </w:r>
            <w:r>
              <w:rPr>
                <w:rFonts w:hint="default" w:ascii="仿宋" w:hAnsi="仿宋" w:eastAsia="仿宋" w:cs="仿宋"/>
                <w:spacing w:val="-61"/>
                <w:kern w:val="2"/>
                <w:sz w:val="18"/>
                <w:szCs w:val="18"/>
                <w:highlight w:val="none"/>
              </w:rPr>
              <w:t xml:space="preserve"> ）</w:t>
            </w:r>
          </w:p>
        </w:tc>
      </w:tr>
      <w:tr w14:paraId="0FF247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  <w:jc w:val="center"/>
        </w:trPr>
        <w:tc>
          <w:tcPr>
            <w:tcW w:w="2341" w:type="pct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148A4A96"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仿宋" w:hAnsi="仿宋" w:eastAsia="仿宋" w:cs="仿宋"/>
                <w:spacing w:val="-2"/>
                <w:kern w:val="2"/>
                <w:sz w:val="18"/>
                <w:szCs w:val="18"/>
                <w:highlight w:val="none"/>
              </w:rPr>
              <w:t>未按短信提示及时到达，并迟到</w:t>
            </w:r>
            <w:r>
              <w:rPr>
                <w:rFonts w:hint="default" w:ascii="仿宋" w:hAnsi="仿宋" w:eastAsia="仿宋" w:cs="仿宋"/>
                <w:spacing w:val="-24"/>
                <w:kern w:val="2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default" w:ascii="仿宋" w:hAnsi="仿宋" w:eastAsia="仿宋" w:cs="仿宋"/>
                <w:spacing w:val="-2"/>
                <w:kern w:val="2"/>
                <w:sz w:val="18"/>
                <w:szCs w:val="18"/>
                <w:highlight w:val="none"/>
              </w:rPr>
              <w:t>30</w:t>
            </w:r>
            <w:r>
              <w:rPr>
                <w:rFonts w:hint="default" w:ascii="仿宋" w:hAnsi="仿宋" w:eastAsia="仿宋" w:cs="仿宋"/>
                <w:spacing w:val="-37"/>
                <w:kern w:val="2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default" w:ascii="仿宋" w:hAnsi="仿宋" w:eastAsia="仿宋" w:cs="仿宋"/>
                <w:spacing w:val="-2"/>
                <w:kern w:val="2"/>
                <w:sz w:val="18"/>
                <w:szCs w:val="18"/>
                <w:highlight w:val="none"/>
              </w:rPr>
              <w:t>分钟以上1小时以下的</w:t>
            </w:r>
          </w:p>
        </w:tc>
        <w:tc>
          <w:tcPr>
            <w:tcW w:w="2658" w:type="pct"/>
            <w:gridSpan w:val="7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09B594D"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default" w:ascii="仿宋" w:hAnsi="仿宋" w:eastAsia="仿宋" w:cs="仿宋"/>
                <w:spacing w:val="-1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仿宋" w:hAnsi="仿宋" w:eastAsia="仿宋" w:cs="仿宋"/>
                <w:spacing w:val="-1"/>
                <w:kern w:val="2"/>
                <w:sz w:val="18"/>
                <w:szCs w:val="18"/>
                <w:highlight w:val="none"/>
              </w:rPr>
              <w:t>评审过程中未经许可擅自离开评标区或进入其他评标室的</w:t>
            </w:r>
          </w:p>
        </w:tc>
      </w:tr>
      <w:tr w14:paraId="66578F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86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934DC8E"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ind w:left="691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仿宋" w:hAnsi="仿宋" w:eastAsia="仿宋" w:cs="仿宋"/>
                <w:spacing w:val="-2"/>
                <w:kern w:val="2"/>
                <w:sz w:val="18"/>
                <w:szCs w:val="18"/>
                <w:highlight w:val="none"/>
              </w:rPr>
              <w:t>本项共计扣分</w:t>
            </w:r>
          </w:p>
        </w:tc>
        <w:tc>
          <w:tcPr>
            <w:tcW w:w="4134" w:type="pct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37DDA5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</w:rPr>
            </w:pPr>
          </w:p>
        </w:tc>
      </w:tr>
      <w:tr w14:paraId="65BD26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5000" w:type="pct"/>
            <w:gridSpan w:val="1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BE5DC5E"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ind w:left="4082"/>
              <w:rPr>
                <w:rFonts w:hint="default" w:ascii="仿宋" w:hAnsi="仿宋" w:eastAsia="仿宋" w:cs="仿宋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仿宋" w:hAnsi="仿宋" w:eastAsia="仿宋" w:cs="仿宋"/>
                <w:spacing w:val="-1"/>
                <w:kern w:val="2"/>
                <w:sz w:val="18"/>
                <w:szCs w:val="18"/>
                <w:highlight w:val="none"/>
              </w:rPr>
              <w:t>二、有下列严重不良行为之一的，每项扣20分（有一项在对应的情形后方打√</w:t>
            </w:r>
            <w:r>
              <w:rPr>
                <w:rFonts w:hint="default" w:ascii="仿宋" w:hAnsi="仿宋" w:eastAsia="仿宋" w:cs="仿宋"/>
                <w:spacing w:val="-62"/>
                <w:kern w:val="2"/>
                <w:sz w:val="18"/>
                <w:szCs w:val="18"/>
                <w:highlight w:val="none"/>
              </w:rPr>
              <w:t xml:space="preserve"> ）</w:t>
            </w:r>
          </w:p>
        </w:tc>
      </w:tr>
      <w:tr w14:paraId="527414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2341" w:type="pct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AA85F4D"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仿宋" w:hAnsi="仿宋" w:eastAsia="仿宋" w:cs="仿宋"/>
                <w:kern w:val="2"/>
                <w:sz w:val="18"/>
                <w:szCs w:val="18"/>
                <w:highlight w:val="none"/>
              </w:rPr>
              <w:t>在评标开始时间1小时后仍未到场的</w:t>
            </w:r>
          </w:p>
        </w:tc>
        <w:tc>
          <w:tcPr>
            <w:tcW w:w="2658" w:type="pct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41736F2"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ind w:left="552"/>
              <w:jc w:val="both"/>
              <w:rPr>
                <w:rFonts w:hint="default" w:ascii="仿宋" w:hAnsi="仿宋" w:eastAsia="仿宋" w:cs="仿宋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仿宋" w:hAnsi="仿宋" w:eastAsia="仿宋" w:cs="仿宋"/>
                <w:kern w:val="2"/>
                <w:sz w:val="18"/>
                <w:szCs w:val="18"/>
                <w:highlight w:val="none"/>
              </w:rPr>
              <w:t>在评审现场高声喧哗或随意走动，不遵守工作纪律，影响正常评审秩序且不服从中心、采购人或招标代理机构工作人员管理的</w:t>
            </w:r>
          </w:p>
        </w:tc>
      </w:tr>
      <w:tr w14:paraId="719A4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  <w:jc w:val="center"/>
        </w:trPr>
        <w:tc>
          <w:tcPr>
            <w:tcW w:w="5000" w:type="pct"/>
            <w:gridSpan w:val="1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CD76DF9"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ind w:left="552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仿宋" w:hAnsi="仿宋" w:eastAsia="仿宋" w:cs="仿宋"/>
                <w:kern w:val="2"/>
                <w:sz w:val="18"/>
                <w:szCs w:val="18"/>
                <w:highlight w:val="none"/>
              </w:rPr>
              <w:t>不仔细审阅响应文件，未按采购文件规定的评审程序、评审方法和评审标准进行独立评审的；</w:t>
            </w:r>
          </w:p>
        </w:tc>
      </w:tr>
      <w:tr w14:paraId="3D448F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  <w:jc w:val="center"/>
        </w:trPr>
        <w:tc>
          <w:tcPr>
            <w:tcW w:w="86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AD57005"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仿宋" w:hAnsi="仿宋" w:eastAsia="仿宋" w:cs="仿宋"/>
                <w:kern w:val="2"/>
                <w:sz w:val="18"/>
                <w:szCs w:val="18"/>
                <w:highlight w:val="none"/>
              </w:rPr>
              <w:t>本项共计扣分</w:t>
            </w:r>
          </w:p>
        </w:tc>
        <w:tc>
          <w:tcPr>
            <w:tcW w:w="4134" w:type="pct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012546D"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ind w:left="552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highlight w:val="none"/>
              </w:rPr>
            </w:pPr>
          </w:p>
        </w:tc>
      </w:tr>
      <w:tr w14:paraId="052EF8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5000" w:type="pct"/>
            <w:gridSpan w:val="1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34E322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仿宋" w:hAnsi="仿宋" w:eastAsia="仿宋" w:cs="仿宋"/>
                <w:color w:val="000000"/>
                <w:spacing w:val="-1"/>
                <w:kern w:val="0"/>
                <w:sz w:val="18"/>
                <w:szCs w:val="18"/>
                <w:highlight w:val="none"/>
                <w:lang w:val="en-US" w:eastAsia="zh-CN" w:bidi="ar"/>
              </w:rPr>
              <w:t>三、有下列严重不良行为之一的，每项扣40分（有一项在对应的情形后方打√ ）</w:t>
            </w:r>
          </w:p>
        </w:tc>
      </w:tr>
      <w:tr w14:paraId="357E00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 w:hRule="atLeast"/>
          <w:jc w:val="center"/>
        </w:trPr>
        <w:tc>
          <w:tcPr>
            <w:tcW w:w="86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CC5C73C"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default" w:ascii="仿宋" w:hAnsi="仿宋" w:eastAsia="仿宋" w:cs="仿宋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仿宋" w:hAnsi="仿宋" w:eastAsia="仿宋" w:cs="仿宋"/>
                <w:kern w:val="2"/>
                <w:sz w:val="18"/>
                <w:szCs w:val="18"/>
                <w:highlight w:val="none"/>
              </w:rPr>
              <w:t>评标时，打分明显有差距，拒不说明理由的</w:t>
            </w:r>
          </w:p>
        </w:tc>
        <w:tc>
          <w:tcPr>
            <w:tcW w:w="1475" w:type="pct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42B7063"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仿宋" w:hAnsi="仿宋" w:eastAsia="仿宋" w:cs="仿宋"/>
                <w:kern w:val="2"/>
                <w:sz w:val="18"/>
                <w:szCs w:val="18"/>
                <w:highlight w:val="none"/>
              </w:rPr>
              <w:t>在评标结束后，将评标过程涉及应当保密的资料或数据带离评标室的</w:t>
            </w:r>
          </w:p>
        </w:tc>
        <w:tc>
          <w:tcPr>
            <w:tcW w:w="1486" w:type="pct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844B3D4"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仿宋" w:hAnsi="仿宋" w:eastAsia="仿宋" w:cs="仿宋"/>
                <w:kern w:val="2"/>
                <w:sz w:val="18"/>
                <w:szCs w:val="18"/>
                <w:highlight w:val="none"/>
              </w:rPr>
              <w:t>对按中心标准支付的评标费有异议，并拒绝在评标报告上签字或其他影响评标活动的行为</w:t>
            </w:r>
          </w:p>
          <w:p w14:paraId="5D90304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629" w:type="pct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828BB7D"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highlight w:val="none"/>
              </w:rPr>
              <w:t>发表不当言论影响其他专家公正评标的</w:t>
            </w:r>
          </w:p>
        </w:tc>
        <w:tc>
          <w:tcPr>
            <w:tcW w:w="54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4037D7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将通讯工具带入评审区的</w:t>
            </w:r>
          </w:p>
        </w:tc>
      </w:tr>
      <w:tr w14:paraId="06776B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1634" w:type="pct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23D28F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消极评审或故意拖延评标评审时间以获取更多劳务费，或者敷衍塞责随意评标评审的</w:t>
            </w:r>
          </w:p>
        </w:tc>
        <w:tc>
          <w:tcPr>
            <w:tcW w:w="1470" w:type="pct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C6736A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专家到场后无故离场，未参与评标的</w:t>
            </w:r>
          </w:p>
        </w:tc>
        <w:tc>
          <w:tcPr>
            <w:tcW w:w="722" w:type="pct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B05661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"/>
              </w:rPr>
              <w:t>未按规定履行请假手续无故不来参与评标的</w:t>
            </w:r>
          </w:p>
        </w:tc>
        <w:tc>
          <w:tcPr>
            <w:tcW w:w="1172" w:type="pct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9B003F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  <w:t>有其他违法违规行为、或严重违反评审专家工作纪律的其他行为的</w:t>
            </w:r>
          </w:p>
        </w:tc>
      </w:tr>
      <w:tr w14:paraId="5BE4C0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86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2A6AAFD5"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ind w:left="489"/>
              <w:rPr>
                <w:rFonts w:hint="default" w:ascii="仿宋" w:hAnsi="仿宋" w:eastAsia="仿宋" w:cs="仿宋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仿宋" w:hAnsi="仿宋" w:eastAsia="仿宋" w:cs="仿宋"/>
                <w:spacing w:val="-2"/>
                <w:kern w:val="2"/>
                <w:sz w:val="18"/>
                <w:szCs w:val="18"/>
                <w:highlight w:val="none"/>
              </w:rPr>
              <w:t>本项共计扣分</w:t>
            </w:r>
          </w:p>
        </w:tc>
        <w:tc>
          <w:tcPr>
            <w:tcW w:w="1475" w:type="pct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00BA8C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367" w:type="pct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EFD2D02"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ind w:left="1277"/>
              <w:rPr>
                <w:rFonts w:hint="default" w:ascii="仿宋" w:hAnsi="仿宋" w:eastAsia="仿宋" w:cs="仿宋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仿宋" w:hAnsi="仿宋" w:eastAsia="仿宋" w:cs="仿宋"/>
                <w:spacing w:val="-1"/>
                <w:kern w:val="2"/>
                <w:sz w:val="18"/>
                <w:szCs w:val="18"/>
                <w:highlight w:val="none"/>
              </w:rPr>
              <w:t>专家身体健康状况是否适于参加评标活动</w:t>
            </w:r>
          </w:p>
        </w:tc>
        <w:tc>
          <w:tcPr>
            <w:tcW w:w="1291" w:type="pct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9F188C4">
            <w:pPr>
              <w:pStyle w:val="5"/>
              <w:keepNext w:val="0"/>
              <w:keepLines w:val="0"/>
              <w:widowControl w:val="0"/>
              <w:suppressLineNumbers w:val="0"/>
              <w:autoSpaceDE w:val="0"/>
              <w:autoSpaceDN/>
              <w:spacing w:line="300" w:lineRule="exact"/>
              <w:ind w:left="1232"/>
              <w:rPr>
                <w:rFonts w:hint="default" w:ascii="仿宋" w:hAnsi="仿宋" w:eastAsia="仿宋" w:cs="仿宋"/>
                <w:kern w:val="2"/>
                <w:sz w:val="18"/>
                <w:szCs w:val="18"/>
                <w:highlight w:val="none"/>
              </w:rPr>
            </w:pPr>
            <w:r>
              <w:rPr>
                <w:rFonts w:hint="default" w:ascii="仿宋" w:hAnsi="仿宋" w:eastAsia="仿宋" w:cs="仿宋"/>
                <w:spacing w:val="-4"/>
                <w:kern w:val="2"/>
                <w:sz w:val="18"/>
                <w:szCs w:val="18"/>
                <w:highlight w:val="none"/>
              </w:rPr>
              <w:t>是     否</w:t>
            </w:r>
          </w:p>
        </w:tc>
      </w:tr>
    </w:tbl>
    <w:p w14:paraId="128536EA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00" w:lineRule="exact"/>
        <w:ind w:left="0" w:right="0"/>
        <w:jc w:val="both"/>
        <w:rPr>
          <w:rFonts w:hint="default" w:ascii="仿宋" w:hAnsi="仿宋" w:eastAsia="仿宋" w:cs="仿宋"/>
          <w:kern w:val="2"/>
          <w:sz w:val="21"/>
          <w:szCs w:val="21"/>
          <w:highlight w:val="none"/>
        </w:rPr>
      </w:pPr>
      <w:r>
        <w:rPr>
          <w:rFonts w:hint="default" w:ascii="仿宋" w:hAnsi="仿宋" w:eastAsia="仿宋" w:cs="仿宋"/>
          <w:kern w:val="2"/>
          <w:sz w:val="21"/>
          <w:szCs w:val="21"/>
          <w:highlight w:val="none"/>
          <w:lang w:val="en-US" w:eastAsia="zh-CN" w:bidi="ar"/>
        </w:rPr>
        <w:t xml:space="preserve"> </w:t>
      </w:r>
    </w:p>
    <w:p w14:paraId="4CBE86FD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00" w:lineRule="exact"/>
        <w:ind w:left="0" w:right="0"/>
        <w:jc w:val="both"/>
        <w:rPr>
          <w:rFonts w:hint="default" w:ascii="仿宋" w:hAnsi="仿宋" w:eastAsia="仿宋" w:cs="仿宋"/>
          <w:kern w:val="2"/>
          <w:sz w:val="2"/>
          <w:szCs w:val="2"/>
          <w:highlight w:val="none"/>
        </w:rPr>
      </w:pPr>
      <w:r>
        <w:rPr>
          <w:rFonts w:hint="default" w:ascii="仿宋" w:hAnsi="仿宋" w:eastAsia="仿宋" w:cs="仿宋"/>
          <w:kern w:val="2"/>
          <w:sz w:val="2"/>
          <w:szCs w:val="2"/>
          <w:highlight w:val="none"/>
          <w:lang w:val="en-US" w:eastAsia="zh-CN" w:bidi="ar"/>
        </w:rPr>
        <w:t xml:space="preserve"> </w:t>
      </w:r>
    </w:p>
    <w:p w14:paraId="5216C9A7">
      <w:pPr>
        <w:rPr>
          <w:rFonts w:hint="default" w:ascii="仿宋" w:hAnsi="仿宋" w:eastAsia="仿宋" w:cs="仿宋"/>
          <w:kern w:val="2"/>
          <w:sz w:val="2"/>
          <w:szCs w:val="2"/>
          <w:highlight w:val="none"/>
        </w:rPr>
        <w:sectPr>
          <w:pgSz w:w="16839" w:h="11906"/>
          <w:pgMar w:top="2098" w:right="1474" w:bottom="1984" w:left="1587" w:header="1" w:footer="987" w:gutter="0"/>
          <w:pgNumType w:fmt="numberInDash"/>
          <w:cols w:space="720" w:num="1"/>
          <w:docGrid w:type="lines" w:linePitch="312" w:charSpace="0"/>
        </w:sectPr>
      </w:pPr>
    </w:p>
    <w:p w14:paraId="6568B484">
      <w:pPr>
        <w:keepNext w:val="0"/>
        <w:keepLines w:val="0"/>
        <w:widowControl w:val="0"/>
        <w:suppressLineNumbers w:val="0"/>
        <w:autoSpaceDE w:val="0"/>
        <w:autoSpaceDN/>
        <w:spacing w:before="36" w:beforeAutospacing="0" w:after="0" w:afterAutospacing="0" w:line="300" w:lineRule="exact"/>
        <w:ind w:left="266" w:right="0"/>
        <w:jc w:val="both"/>
        <w:rPr>
          <w:rFonts w:hint="default" w:ascii="仿宋" w:hAnsi="仿宋" w:eastAsia="仿宋" w:cs="仿宋"/>
          <w:kern w:val="2"/>
          <w:sz w:val="18"/>
          <w:szCs w:val="18"/>
          <w:highlight w:val="none"/>
        </w:rPr>
      </w:pPr>
      <w:r>
        <w:rPr>
          <w:rFonts w:hint="default" w:ascii="仿宋" w:hAnsi="仿宋" w:eastAsia="仿宋" w:cs="仿宋"/>
          <w:spacing w:val="-1"/>
          <w:kern w:val="2"/>
          <w:sz w:val="18"/>
          <w:szCs w:val="18"/>
          <w:highlight w:val="none"/>
          <w:lang w:val="en-US" w:eastAsia="zh-CN" w:bidi="ar"/>
        </w:rPr>
        <w:t>合计总扣分数：</w:t>
      </w:r>
    </w:p>
    <w:p w14:paraId="3ED82D71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00" w:lineRule="exact"/>
        <w:ind w:left="0" w:right="0"/>
        <w:jc w:val="both"/>
        <w:rPr>
          <w:rFonts w:hint="default" w:ascii="仿宋" w:hAnsi="仿宋" w:eastAsia="仿宋" w:cs="仿宋"/>
          <w:kern w:val="2"/>
          <w:sz w:val="2"/>
          <w:szCs w:val="2"/>
          <w:highlight w:val="none"/>
        </w:rPr>
      </w:pPr>
    </w:p>
    <w:p w14:paraId="2EDFBCE4">
      <w:pPr>
        <w:keepNext w:val="0"/>
        <w:keepLines w:val="0"/>
        <w:widowControl w:val="0"/>
        <w:suppressLineNumbers w:val="0"/>
        <w:autoSpaceDE w:val="0"/>
        <w:autoSpaceDN/>
        <w:spacing w:before="34" w:beforeAutospacing="0" w:after="0" w:afterAutospacing="0" w:line="300" w:lineRule="exact"/>
        <w:ind w:left="0" w:right="0"/>
        <w:jc w:val="both"/>
        <w:rPr>
          <w:rFonts w:hint="default" w:ascii="仿宋" w:hAnsi="仿宋" w:eastAsia="仿宋" w:cs="仿宋"/>
          <w:kern w:val="2"/>
          <w:sz w:val="18"/>
          <w:szCs w:val="18"/>
          <w:highlight w:val="none"/>
        </w:rPr>
        <w:sectPr>
          <w:type w:val="continuous"/>
          <w:pgSz w:w="16839" w:h="11906"/>
          <w:pgMar w:top="2098" w:right="1474" w:bottom="1984" w:left="1587" w:header="1" w:footer="987" w:gutter="0"/>
          <w:pgNumType w:fmt="numberInDash"/>
          <w:cols w:space="720" w:num="1"/>
          <w:docGrid w:type="lines" w:linePitch="312" w:charSpace="0"/>
        </w:sectPr>
      </w:pPr>
      <w:r>
        <w:rPr>
          <w:rFonts w:hint="default" w:ascii="仿宋" w:hAnsi="仿宋" w:eastAsia="仿宋" w:cs="仿宋"/>
          <w:spacing w:val="-1"/>
          <w:kern w:val="2"/>
          <w:sz w:val="18"/>
          <w:szCs w:val="18"/>
          <w:highlight w:val="none"/>
          <w:lang w:eastAsia="zh-CN" w:bidi="ar"/>
        </w:rPr>
        <w:t xml:space="preserve">   </w:t>
      </w:r>
      <w:r>
        <w:rPr>
          <w:rFonts w:hint="default" w:ascii="仿宋" w:hAnsi="仿宋" w:eastAsia="仿宋" w:cs="仿宋"/>
          <w:spacing w:val="-1"/>
          <w:kern w:val="2"/>
          <w:sz w:val="18"/>
          <w:szCs w:val="18"/>
          <w:highlight w:val="none"/>
          <w:lang w:val="en-US" w:eastAsia="zh-CN" w:bidi="ar"/>
        </w:rPr>
        <w:t>考核人员签字：</w:t>
      </w:r>
    </w:p>
    <w:p w14:paraId="5D0AA1B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2D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basedOn w:val="1"/>
    <w:qFormat/>
    <w:uiPriority w:val="0"/>
    <w:pPr>
      <w:keepNext w:val="0"/>
      <w:keepLines w:val="0"/>
      <w:widowControl w:val="0"/>
      <w:suppressLineNumbers w:val="0"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eastAsia" w:ascii="仿宋_GB2312" w:hAnsi="宋体" w:eastAsia="仿宋_GB2312" w:cs="Times New Roman"/>
      <w:color w:val="000000"/>
      <w:kern w:val="0"/>
      <w:sz w:val="24"/>
      <w:szCs w:val="24"/>
      <w:lang w:val="en-US" w:eastAsia="zh-CN" w:bidi="ar"/>
    </w:rPr>
  </w:style>
  <w:style w:type="paragraph" w:customStyle="1" w:styleId="5">
    <w:name w:val="Table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宋体" w:eastAsia="宋体" w:cs="宋体"/>
      <w:kern w:val="2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2025-08-06T11:07:18Z</dcterms:created>
  <dc:creator>Lenovo</dc:creator>
  <cp:lastModifiedBy>吕广华</cp:lastModifiedBy>
  <dcterms:modified xsi:type="dcterms:W3CDTF">2025-08-06T11:07:22Z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eyJoZGlkIjoiZmJjZDFlNGQ1NGY1ZGRkZDUwMGEzYjg3YzJjNTcyMDMiLCJ1c2VySWQiOiIxNTI2MTExODQ3In0=</vt:lpwstr>
  </property>
  <property fmtid="{D5CDD505-2E9C-101B-9397-08002B2CF9AE}" pid="4" name="ICV">
    <vt:lpwstr>6817A7A442744B3090A767B367E27DBC_12</vt:lpwstr>
  </property>
</Properties>
</file>